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Применимость законов и постановлений Китаб-и-Агдас (8 февраля 2001 г.)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480"/>
      </w:pPr>
      <w:r>
        <w:rPr>
          <w:i/>
          <w:sz w:val="20"/>
        </w:rPr>
        <w:t>Письмо Секретариата Всемирного Дома Справедливости всем Национальным Духовным Собраниям от 8 февраля 2001 года с приложением «Законы Китаб-и-Агдас, ещё не применяемые повсеместно» (по состоянию на 28 декабря 1999 г.). Содержит актуальный перечень законов Свода Китаб-и-Агдас, которые пока не являются обязательными для всех верующих; остальные законы (молитва, пост, Хукукулла, Величайшее Имя и др.) применяются повсеместно.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3510&quot; ">
        <w:r>
          <w:rPr>
            <w:color w:val="3498db"/>
            <w:u w:val="single"/>
          </w:rPr>
          <w:t>Раздел 3510</w:t>
        </w:r>
      </w:fldSimple>
    </w:p>
    <w:p>
      <w:pPr>
        <w:spacing w:before="480" w:after="240"/>
        <w:pageBreakBefore w:val="true"/>
      </w:pPr>
      <w:bookmarkStart w:id="3510" w:name="section_3510"/>
      <w:bookmarkEnd w:id="3510"/>
    </w:p>
    <w:p>
      <w:pPr>
        <w:spacing w:after="240"/>
        <w:ind w:firstLine="720"/>
      </w:pPr>
      <w:r>
        <w:rPr>
          <w:b/>
          <w:color w:val="3498db"/>
        </w:rPr>
        <w:t>1. </w:t>
      </w:r>
      <w:r>
        <w:rPr>
          <w:sz w:val="22"/>
        </w:rPr>
        <w:t>Всемирный Дом Справедливости. Секретариат</w:t>
      </w:r>
    </w:p>
    <w:p>
      <w:pPr>
        <w:spacing w:after="240"/>
        <w:ind w:firstLine="720"/>
      </w:pPr>
      <w:r>
        <w:rPr>
          <w:b/>
          <w:color w:val="3498db"/>
        </w:rPr>
        <w:t>2. </w:t>
      </w:r>
      <w:r>
        <w:rPr>
          <w:sz w:val="22"/>
        </w:rPr>
        <w:t>8 февраля 2001 г.</w:t>
      </w:r>
    </w:p>
    <w:p>
      <w:pPr>
        <w:spacing w:after="240"/>
        <w:ind w:firstLine="720"/>
      </w:pPr>
      <w:r>
        <w:rPr>
          <w:b/>
          <w:color w:val="3498db"/>
        </w:rPr>
        <w:t>3. </w:t>
      </w:r>
      <w:r>
        <w:rPr>
          <w:sz w:val="22"/>
        </w:rPr>
        <w:t>Всем Национальным Духовным Собраниям</w:t>
      </w:r>
    </w:p>
    <w:p>
      <w:pPr>
        <w:spacing w:after="240"/>
        <w:ind w:firstLine="720"/>
      </w:pPr>
      <w:r>
        <w:rPr>
          <w:b/>
          <w:color w:val="3498db"/>
        </w:rPr>
        <w:t>4. </w:t>
      </w:r>
      <w:r>
        <w:rPr>
          <w:sz w:val="22"/>
        </w:rPr>
        <w:t>Дорогие друзья-бахаи!</w:t>
      </w:r>
    </w:p>
    <w:p>
      <w:pPr>
        <w:spacing w:after="240"/>
        <w:ind w:firstLine="720"/>
      </w:pPr>
      <w:r>
        <w:rPr>
          <w:b/>
          <w:color w:val="3498db"/>
        </w:rPr>
        <w:t>5. </w:t>
      </w:r>
      <w:r>
        <w:rPr>
          <w:sz w:val="22"/>
        </w:rPr>
        <w:t>Применимость законов и постановлений Китаб-и-Агдас</w:t>
      </w:r>
    </w:p>
    <w:p>
      <w:pPr>
        <w:spacing w:after="240"/>
        <w:ind w:firstLine="720"/>
      </w:pPr>
      <w:r>
        <w:rPr>
          <w:b/>
          <w:color w:val="3498db"/>
        </w:rPr>
        <w:t>6. </w:t>
      </w:r>
      <w:r>
        <w:rPr>
          <w:sz w:val="22"/>
        </w:rPr>
        <w:t>9 мая 1993 года каждому Национальному Духовному Собранию была направлена копия письма, написанного Национальному Духовному Собранию Исландии 9 июня 1974 года, в котором был приведен перечень законов, не являвшихся на тот момент обязательными для западного мира. В сопроводительном письме отмечалось, что закон Хукукуллы стал обязательным для всех верующих начиная с Ризвана 1992 года. 28 декабря 1999 года Всемирный Дом Справедливости обратился к бахаи всего мира, сообщив о всеобщем применении остальных аспектов законов, касающихся молитвы и поста.</w:t>
      </w:r>
    </w:p>
    <w:p>
      <w:pPr>
        <w:spacing w:after="240"/>
        <w:ind w:firstLine="720"/>
      </w:pPr>
      <w:r>
        <w:rPr>
          <w:b/>
          <w:color w:val="3498db"/>
        </w:rPr>
        <w:t>7. </w:t>
      </w:r>
      <w:r>
        <w:rPr>
          <w:sz w:val="22"/>
        </w:rPr>
        <w:t>Поэтому, чтобы обновить информацию, нам поручено направить вам прилагаемый перечень законов, которые пока еще не применяются повсеместно, взамен списка, отправленного вам в мае 1993 года.</w:t>
      </w:r>
    </w:p>
    <w:p>
      <w:pPr>
        <w:spacing w:after="240"/>
        <w:ind w:firstLine="720"/>
      </w:pPr>
      <w:r>
        <w:rPr>
          <w:b/>
          <w:color w:val="3498db"/>
        </w:rPr>
        <w:t>8. </w:t>
      </w:r>
      <w:r>
        <w:rPr>
          <w:sz w:val="22"/>
        </w:rPr>
        <w:t>С любовью и бахаи-приветствиями, Секретариат</w:t>
      </w:r>
    </w:p>
    <w:p>
      <w:pPr>
        <w:spacing w:after="240"/>
        <w:ind w:firstLine="720"/>
      </w:pPr>
      <w:r>
        <w:rPr>
          <w:b/>
          <w:color w:val="3498db"/>
        </w:rPr>
        <w:t>9. </w:t>
      </w:r>
      <w:r>
        <w:rPr>
          <w:sz w:val="22"/>
        </w:rPr>
        <w:t>ЗАКОНЫ КИТАБ-И-АГДАС, ЕЩЕ НЕ ПРИМЕНЯЕМЫЕ ПОВСЕМЕСТНО. 28 декабря 1999 г.</w:t>
      </w:r>
    </w:p>
    <w:p>
      <w:pPr>
        <w:spacing w:after="240"/>
        <w:ind w:firstLine="720"/>
      </w:pPr>
      <w:r>
        <w:rPr>
          <w:b/>
          <w:color w:val="3498db"/>
        </w:rPr>
        <w:t>10. </w:t>
      </w:r>
      <w:r>
        <w:rPr>
          <w:sz w:val="22"/>
        </w:rPr>
        <w:t>После введения всеобщего применения законов о молитве, посте и произнесении Величайшего Имени Всемирный Дом Справедливости предоставляет следующий перечень законов, указанных в «Кратком изложении и кодификации Китаб-и-Агдас», которые в настоящее время не являются обязательными для всех друзей. Номера разделов приводятся для удобства.</w:t>
      </w:r>
    </w:p>
    <w:p>
      <w:pPr>
        <w:spacing w:after="240"/>
        <w:ind w:firstLine="720"/>
      </w:pPr>
      <w:r>
        <w:rPr>
          <w:b/>
          <w:color w:val="3498db"/>
        </w:rPr>
        <w:t>11. </w:t>
      </w:r>
      <w:r>
        <w:rPr>
          <w:sz w:val="22"/>
        </w:rPr>
        <w:t>IV.C.1.i — Законы, регулирующие помолвку.</w:t>
      </w:r>
    </w:p>
    <w:p>
      <w:pPr>
        <w:spacing w:after="240"/>
        <w:ind w:firstLine="720"/>
      </w:pPr>
      <w:r>
        <w:rPr>
          <w:b/>
          <w:color w:val="3498db"/>
        </w:rPr>
        <w:t>12. </w:t>
      </w:r>
      <w:r>
        <w:rPr>
          <w:sz w:val="22"/>
        </w:rPr>
        <w:t>IV.C.1.j — Закон о выплате брачного дара женихом невесте.</w:t>
      </w:r>
    </w:p>
    <w:p>
      <w:pPr>
        <w:spacing w:after="240"/>
        <w:ind w:firstLine="720"/>
      </w:pPr>
      <w:r>
        <w:rPr>
          <w:b/>
          <w:color w:val="3498db"/>
        </w:rPr>
        <w:t>13. </w:t>
      </w:r>
      <w:r>
        <w:rPr>
          <w:sz w:val="22"/>
        </w:rPr>
        <w:t>IV.C.1.l и m — Законы, касающиеся отъезда мужа от жены.</w:t>
      </w:r>
    </w:p>
    <w:p>
      <w:pPr>
        <w:spacing w:after="240"/>
        <w:ind w:firstLine="720"/>
      </w:pPr>
      <w:r>
        <w:rPr>
          <w:b/>
          <w:color w:val="3498db"/>
        </w:rPr>
        <w:t>14. </w:t>
      </w:r>
      <w:r>
        <w:rPr>
          <w:sz w:val="22"/>
        </w:rPr>
        <w:t>IV.C.1.n и o — Законы, относящиеся к девственности жены.</w:t>
      </w:r>
    </w:p>
    <w:p>
      <w:pPr>
        <w:spacing w:after="240"/>
        <w:ind w:firstLine="720"/>
      </w:pPr>
      <w:r>
        <w:rPr>
          <w:b/>
          <w:color w:val="3498db"/>
        </w:rPr>
        <w:t>15. </w:t>
      </w:r>
      <w:r>
        <w:rPr>
          <w:sz w:val="22"/>
        </w:rPr>
        <w:t>IV.C.2.b — Часть закона о разводе, касающаяся штрафов, выплачиваемых Дому Справедливости.</w:t>
      </w:r>
    </w:p>
    <w:p>
      <w:pPr>
        <w:spacing w:after="240"/>
        <w:ind w:firstLine="720"/>
      </w:pPr>
      <w:r>
        <w:rPr>
          <w:b/>
          <w:color w:val="3498db"/>
        </w:rPr>
        <w:t>16. </w:t>
      </w:r>
      <w:r>
        <w:rPr>
          <w:sz w:val="22"/>
        </w:rPr>
        <w:t>IV.C.3 — Закон о наследовании. В настоящее время эти вопросы обычно регулируются гражданским законодательством.</w:t>
      </w:r>
    </w:p>
    <w:p>
      <w:pPr>
        <w:spacing w:after="240"/>
        <w:ind w:firstLine="720"/>
      </w:pPr>
      <w:r>
        <w:rPr>
          <w:b/>
          <w:color w:val="3498db"/>
        </w:rPr>
        <w:t>17. </w:t>
      </w:r>
      <w:r>
        <w:rPr>
          <w:sz w:val="22"/>
        </w:rPr>
        <w:t>IV.D.1.a — Закон о паломничестве.</w:t>
      </w:r>
    </w:p>
    <w:p>
      <w:pPr>
        <w:spacing w:after="240"/>
        <w:ind w:firstLine="720"/>
      </w:pPr>
      <w:r>
        <w:rPr>
          <w:b/>
          <w:color w:val="3498db"/>
        </w:rPr>
        <w:t>18. </w:t>
      </w:r>
      <w:r>
        <w:rPr>
          <w:sz w:val="22"/>
        </w:rPr>
        <w:t>IV.D.1.d — Закон о Машрикуль-Азкаре вводится постепенно.</w:t>
      </w:r>
    </w:p>
    <w:p>
      <w:pPr>
        <w:spacing w:after="240"/>
        <w:ind w:firstLine="720"/>
      </w:pPr>
      <w:r>
        <w:rPr>
          <w:b/>
          <w:color w:val="3498db"/>
        </w:rPr>
        <w:t>19. </w:t>
      </w:r>
      <w:r>
        <w:rPr>
          <w:sz w:val="22"/>
        </w:rPr>
        <w:t>IV.D.1.f — Праздники бахаи отмечаются западными друзьями по датам григорианского календаря до тех пор, пока Всемирный Дом Справедливости не сочтет необходимым принять дополнительные положения для полного внедрения календаря Бади.</w:t>
      </w:r>
    </w:p>
    <w:p>
      <w:pPr>
        <w:spacing w:after="240"/>
        <w:ind w:firstLine="720"/>
      </w:pPr>
      <w:r>
        <w:rPr>
          <w:b/>
          <w:color w:val="3498db"/>
        </w:rPr>
        <w:t>20. </w:t>
      </w:r>
      <w:r>
        <w:rPr>
          <w:sz w:val="22"/>
        </w:rPr>
        <w:t>IV.D.1.j — Возраст зрелости пока применяется только к религиозным обязанностям бахаи. В других вопросах действует гражданское законодательство соответствующей страны. Возраст административной зрелости в общине бахаи в настоящее время установлен в 21 год.</w:t>
      </w:r>
    </w:p>
    <w:p>
      <w:pPr>
        <w:spacing w:after="240"/>
        <w:ind w:firstLine="720"/>
      </w:pPr>
      <w:r>
        <w:rPr>
          <w:b/>
          <w:color w:val="3498db"/>
        </w:rPr>
        <w:t>21. </w:t>
      </w:r>
      <w:r>
        <w:rPr>
          <w:sz w:val="22"/>
        </w:rPr>
        <w:t>IV.D.1.k — Для погребения умерших на Западе обязательны следующие требования: захоронение тела (без кремации), перевозка не далее чем на расстояние одного часа пути от места смерти и чтение Молитвы по усопшим, если умерший был верующим старше 15 лет.</w:t>
      </w:r>
    </w:p>
    <w:p>
      <w:pPr>
        <w:spacing w:after="240"/>
        <w:ind w:firstLine="720"/>
      </w:pPr>
      <w:r>
        <w:rPr>
          <w:b/>
          <w:color w:val="3498db"/>
        </w:rPr>
        <w:t>22. </w:t>
      </w:r>
      <w:r>
        <w:rPr>
          <w:sz w:val="22"/>
        </w:rPr>
        <w:t>IV.D.1.p — Закон о десятине.</w:t>
      </w:r>
    </w:p>
    <w:p>
      <w:pPr>
        <w:spacing w:after="240"/>
        <w:ind w:firstLine="720"/>
      </w:pPr>
      <w:r>
        <w:rPr>
          <w:b/>
          <w:color w:val="3498db"/>
        </w:rPr>
        <w:t>23. </w:t>
      </w:r>
      <w:r>
        <w:rPr>
          <w:sz w:val="22"/>
        </w:rPr>
        <w:t>IV.D.1.r — Закон, касающийся охоты на животных.</w:t>
      </w:r>
    </w:p>
    <w:p>
      <w:pPr>
        <w:spacing w:after="240"/>
        <w:ind w:firstLine="720"/>
      </w:pPr>
      <w:r>
        <w:rPr>
          <w:b/>
          <w:color w:val="3498db"/>
        </w:rPr>
        <w:t>24. </w:t>
      </w:r>
      <w:r>
        <w:rPr>
          <w:sz w:val="22"/>
        </w:rPr>
        <w:t>IV.D.1.t, u, v и w — Законы, касающиеся находки потерянного имущества, обнаружения клада, распоряжения доверенным имуществом и компенсации за непредумышленное убийство, предназначены для будущего состояния общества. Обычно эти вопросы регулируются гражданским законодательством каждой страны.</w:t>
      </w:r>
    </w:p>
    <w:p>
      <w:pPr>
        <w:spacing w:after="240"/>
        <w:ind w:firstLine="720"/>
      </w:pPr>
      <w:r>
        <w:rPr>
          <w:b/>
          <w:color w:val="3498db"/>
        </w:rPr>
        <w:t>25. </w:t>
      </w:r>
      <w:r>
        <w:rPr>
          <w:sz w:val="22"/>
        </w:rPr>
        <w:t>IV.D.1.y, xiv, xv, xvi и xvii — Поджог, прелюбодеяние, убийство и кража запрещены для бахаи, однако предусмотренные в Китаб-и-Агдас наказания относятся к будущему состоянию общества. В настоящее время такие вопросы обычно регулируются гражданскими законами каждой страны.</w:t>
      </w:r>
    </w:p>
    <w:p>
      <w:pPr>
        <w:spacing w:after="240"/>
        <w:ind w:firstLine="720"/>
      </w:pPr>
      <w:r>
        <w:rPr>
          <w:b/>
          <w:color w:val="3498db"/>
        </w:rPr>
        <w:t>26. </w:t>
      </w:r>
      <w:r>
        <w:rPr>
          <w:sz w:val="22"/>
        </w:rPr>
        <w:t>IV.D.1.y, xxv, xxx, xxxi и xxxii — Законы, запрещающие использование определенных бассейнов, характерных для старинных персидских бань, погружение рук в пищу, бритье головы и отращивание мужчинами волос ниже мочки уха.</w:t>
      </w:r>
    </w:p>
    <w:p>
      <w:pPr>
        <w:spacing w:after="240"/>
        <w:ind w:firstLine="720"/>
      </w:pPr>
      <w:r>
        <w:rPr>
          <w:b/>
          <w:color w:val="3498db"/>
        </w:rPr>
        <w:t>27. </w:t>
      </w:r>
      <w:r>
        <w:rPr>
          <w:sz w:val="22"/>
        </w:rPr>
        <w:t>Все наставления, перечисленные в разделе IV.D.3, в настоящее время применимы повсеместно в той мере, в какой друзья могут их выполнять. Например, наставление обучать детей пению Святых Стихов в Машрикуль-Азкаре может буквально исполняться лишь в ограниченном масштабе, однако друзья, тем не менее, должны по возможности обучать детей Священным Писаниям.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Применимость законов и постановлений Китаб-и-Агдас (8 февраля 2001 г.)</dc:title>
  <dc:creator>Всемирный Дом Справедливости</dc:creator>
  <dc:description>Письмо Секретариата Всемирного Дома Справедливости всем Национальным Духовным Собраниям от 8 февраля 2001 года с приложением «Законы Китаб-и-Агдас, ещё не применяемые повсеместно» (по состоянию на 28 декабря 1999 г.). Содержит актуальный перечень законов Свода Китаб-и-Агдас, которые пока не являются обязательными для всех верующих; остальные законы (молитва, пост, Хукукулла, Величайшее Имя и др.) применяются повсеместно.</dc:description>
  <cp:lastModifiedBy>Всемирный Дом Справедливости</cp:lastModifiedBy>
  <dcterms:created xsi:type="dcterms:W3CDTF">2026-07-24T22:06:30Z</dcterms:created>
  <dcterms:modified xsi:type="dcterms:W3CDTF">2026-07-24T22:06:30Z</dcterms:modified>
</cp:coreProperties>
</file>