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2025-03-18 Всем Континентальным Коллегиям Советников</w:t>
      </w:r>
    </w:p>
    <w:p>
      <w:pPr>
        <w:jc w:val="center"/>
        <w:spacing w:after="360"/>
      </w:pPr>
      <w:r>
        <w:rPr>
          <w:i/>
          <w:sz w:val="24"/>
          <w:color w:val="7f8c8d"/>
        </w:rPr>
        <w:t>Международный Центр по Обучению</w:t>
      </w:r>
    </w:p>
    <w:p>
      <w:pPr>
        <w:jc w:val="center"/>
        <w:spacing w:after="240"/>
        <w:pageBreakBefore w:val="true"/>
      </w:pPr>
      <w:r>
        <w:rPr>
          <w:b/>
          <w:sz w:val="28"/>
          <w:color w:val="2c3e50"/>
        </w:rPr>
        <w:t>Содержание</w:t>
      </w:r>
    </w:p>
    <w:p>
      <w:pPr>
        <w:spacing w:after="120"/>
      </w:pPr>
      <w:fldSimple w:instr=" HYPERLINK \l &quot;section_3439&quot; ">
        <w:r>
          <w:rPr>
            <w:color w:val="3498db"/>
            <w:u w:val="single"/>
          </w:rPr>
          <w:t>Всем Континентальным Коллегиям Советников</w:t>
        </w:r>
      </w:fldSimple>
    </w:p>
    <w:p>
      <w:pPr>
        <w:spacing w:before="480" w:after="240"/>
        <w:pageBreakBefore w:val="true"/>
      </w:pPr>
      <w:bookmarkStart w:id="3439" w:name="section_3439"/>
      <w:r>
        <w:rPr>
          <w:b/>
          <w:sz w:val="24"/>
          <w:color w:val="34495e"/>
        </w:rPr>
        <w:t>Всем Континентальным Коллегиям Советников</w:t>
      </w:r>
      <w:bookmarkEnd w:id="3439"/>
    </w:p>
    <w:p>
      <w:pPr>
        <w:spacing w:after="240"/>
        <w:ind w:firstLine="720"/>
      </w:pPr>
      <w:r>
        <w:rPr>
          <w:sz w:val="22"/>
        </w:rPr>
        <w:t>18 марта 2025 г.
Передано по электронной почте
Всем Континентальным Коллегиям Советников
Дорогие коллеги!</w:t>
      </w:r>
    </w:p>
    <w:p>
      <w:pPr>
        <w:spacing w:after="240"/>
        <w:ind w:firstLine="720"/>
      </w:pPr>
      <w:r>
        <w:rPr>
          <w:b/>
          <w:color w:val="3498db"/>
        </w:rPr>
        <w:t>1. </w:t>
      </w:r>
      <w:r>
        <w:rPr>
          <w:sz w:val="22"/>
        </w:rPr>
        <w:t>В своём послании от 30 декабря 2021 года к Конференции Континентальных Коллегий Советников Всемирный Дом Справедливости охарактеризовал институт по подготовке как «мощное средство, которое позволяет созидательной силе для построения общества, присущей Вере, найти выход». Далее он утверждает, что «критически важное требование» для развития института по подготовке — это «дать возможность всем, кто вносит свой вклад в работу института, постепенно продвигать своё понимание содержания образовательных материалов: его целей, его структуры, его педагогических принципов, его методологии, его центральных концепций, его взаимосвязей». За почти три полных года Девятилетнего Плана стало очевидным, что институты по подготовке по всему миру уделяли скоординированное внимание данному требованию. Это привело к обнадёживающим успехам, — например, когда материалы института предлагаются такими способами, которые лучше соответствуют реальности и чаяниям различных групп населения, когда учатся тому, как помогать отдельным людям и общинам использовать преобразующую силу Слова Бога, когда взращивают большую причастность к институту на низовом уровне. В данный момент мы считаем полезным предложить некоторые дальнейшие мысли относительно усилий институтов по подготовке, направленных на то, чтобы расширить охват образовательного процесса и улучшить его воздействие внутри общин.</w:t>
      </w:r>
    </w:p>
    <w:p>
      <w:pPr>
        <w:spacing w:after="240"/>
        <w:ind w:firstLine="720"/>
      </w:pPr>
      <w:r>
        <w:rPr>
          <w:b/>
          <w:color w:val="3498db"/>
        </w:rPr>
        <w:t>2. </w:t>
      </w:r>
      <w:r>
        <w:rPr>
          <w:sz w:val="22"/>
        </w:rPr>
        <w:t>В предыдущих посланиях, особенно в Ризван 2010 года, от 28 декабря 2010 года и 12 декабря 2011 года, Дом Справедливости описал некоторые характеристики учебной программы института по подготовке. И хотя педагогические принципы всегда упоминались в материалах института, в пересмотренных версиях Книг с 1 по 7 последовательности курсов многие из них делаются более явными — например, концепцию «комплексной способности». Вводимые замечания к каждому курсу «Несколько идей для ведущего», а также курсы-ответвления от Книг 3 и 5 — это дополнительные ресурсы, помогающие ведущим, вожатым и учителям, а также тем, кто их поддерживает, улучшить понимание содержания и подходов, связанных с каждой из программ института. В частности, институты обнаруживают, что «Несколько идей для ведущего» в Книге 7 — отличная отправная точка для исследования педагогических принципов, лежащих в основе учебной программы.</w:t>
      </w:r>
    </w:p>
    <w:p>
      <w:pPr>
        <w:spacing w:after="240"/>
        <w:ind w:firstLine="720"/>
      </w:pPr>
      <w:r>
        <w:rPr>
          <w:b/>
          <w:color w:val="3498db"/>
        </w:rPr>
        <w:t>3. </w:t>
      </w:r>
      <w:r>
        <w:rPr>
          <w:sz w:val="22"/>
        </w:rPr>
        <w:t>Институты по подготовке уже учатся использовать эти материалы — вместе с документом «Институты по подготовке: достижение более высокого уровня функционирования» — и различными тематическими практическими примерами — для улучшения преподавания на поле служения, будь то в рамках сопровождения друзей на поле служения, в регулярных пространствах для размышления или во время формальных семинаров. Семинары принимают различные формы в зависимости от способности и реальности в регионе и всё чаще организуются в контексте курсов институтов по подготовке. Многие направлены на повышение способности координаторов и других людей систематизировать проведение каждого этапа образовательного процесса. Цель других — особенно недавно подготовленных ведущих, которые помогают обеспечить стабильный поток участников в последовательность курсов и через неё. Опыт показывает, что, независимо от их частоты и продолжительности, семинары оказывают наибольшее воздействие, когда они задуманы как возможность одновременно углубить понимание и увеличить практический опыт. По мере роста в регионе числа людей с глубоким пониманием спектра содержания материалов, институт может привлекать наиболее опытных из них — нередко в составе отдельных команд, сосредоточенных на каждой образовательной программе, — чтобы помочь создать целостный и последовательный образовательный опыт в общине за общиной.</w:t>
      </w:r>
    </w:p>
    <w:p>
      <w:pPr>
        <w:spacing w:after="240"/>
        <w:ind w:firstLine="720"/>
      </w:pPr>
      <w:r>
        <w:rPr>
          <w:b/>
          <w:color w:val="3498db"/>
        </w:rPr>
        <w:t>4. </w:t>
      </w:r>
      <w:r>
        <w:rPr>
          <w:sz w:val="22"/>
        </w:rPr>
        <w:t>Институтам рекомендуется уделять внимание «улучшению качества самого образовательного опыта, в дополнение к расширению системы его предоставления». Поэтому продвижение понимания содержания обязательно идёт рука об руку с усилиями по укреплению способности института взращивать постоянно расширяющийся круг активных главных действующих лиц, которые развивают процесс построения общины и вносят вклад в глубокое преобразование. Естественно ожидать, что по мере того как друзья, вносящие вклад в работу института, обретают более глубокое понимание его задач, педагогических принципов и методологии, им будет легче осознавать важность постоянного стремления к расширению круга участия и создания условий для того, чтобы большое количество людей вместе шло по пути служения. Постоянное внимание к тому, чтобы повышать способность институтов по подготовке увеличивать и даже ускорять поток новых участников в последовательность курсов, будет жизненно важным для задач Плана. Ваши усилия будут необходимы для помощи институтам по подготовке в том, чтобы опираться на извлечённые уроки в этом отношении, — включая решающую роль, которую молодёжь играет в создании динамичности и содействии развитию института, — и применять новые озарения, полученные в ходе Девятилетнего Плана. Более того, мы уверены, что в ваших продолжающихся совещаниях с вашими помощниками и с институтами Веры об ускорении движения кластеров будет уделено внимание расширению системы института по предоставлению курсов в связи с мерами, изложенными в нашем письме от 31 мая 2024 года.</w:t>
      </w:r>
    </w:p>
    <w:p>
      <w:pPr>
        <w:spacing w:after="240"/>
        <w:ind w:firstLine="720"/>
      </w:pPr>
      <w:r>
        <w:rPr>
          <w:b/>
          <w:color w:val="3498db"/>
        </w:rPr>
        <w:t>5. </w:t>
      </w:r>
      <w:r>
        <w:rPr>
          <w:sz w:val="22"/>
        </w:rPr>
        <w:t>Помогая институтам по подготовке развивать свою способность отвечать на образовательные чаяния всё возрастающего числа людей, будьте уверены в наших пламенных молитвах у Священного Порога о том, чтобы Благословенная Красота направлял и поддерживал вас.
С тёплыми приветствиями бахаи,
Международный Центр по Обучению
копия: всем Континентальным Советникам</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2025-03-18 Всем Континентальным Коллегиям Советников</dc:title>
  <dc:creator>Международный Центр по Обучению</dc:creator>
  <dc:description/>
  <cp:lastModifiedBy>Международный Центр по Обучению</cp:lastModifiedBy>
  <dcterms:created xsi:type="dcterms:W3CDTF">2026-07-24T22:07:13Z</dcterms:created>
  <dcterms:modified xsi:type="dcterms:W3CDTF">2026-07-24T22:07:13Z</dcterms:modified>
</cp:coreProperties>
</file>